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="00D42D59" w:rsidRPr="00966772" w14:paraId="6523EE09" w14:textId="77777777" w:rsidTr="00D42D59">
        <w:trPr>
          <w:trHeight w:val="258"/>
        </w:trPr>
        <w:tc>
          <w:tcPr>
            <w:tcW w:w="547" w:type="dxa"/>
            <w:shd w:val="clear" w:color="auto" w:fill="E2EFD9" w:themeFill="accent6" w:themeFillTint="33"/>
          </w:tcPr>
          <w:p w14:paraId="05FADC5F" w14:textId="77777777" w:rsidR="00D42D59" w:rsidRPr="00966772" w:rsidRDefault="00D42D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vAlign w:val="center"/>
          </w:tcPr>
          <w:p w14:paraId="0C6E6DE2" w14:textId="77777777" w:rsidR="00D42D59" w:rsidRDefault="00D42D59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14:paraId="03E4EEE0" w14:textId="50C71EB9" w:rsidR="00BF56A7" w:rsidRPr="00966772" w:rsidRDefault="00BF56A7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vAlign w:val="center"/>
          </w:tcPr>
          <w:p w14:paraId="3129905A" w14:textId="77777777" w:rsidR="00D42D59" w:rsidRDefault="00D42D59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14:paraId="00ACA9FF" w14:textId="22939F45" w:rsidR="00BF56A7" w:rsidRPr="00966772" w:rsidRDefault="00BF56A7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vAlign w:val="center"/>
          </w:tcPr>
          <w:p w14:paraId="1451D3FD" w14:textId="77777777" w:rsidR="00D42D59" w:rsidRDefault="00D42D59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14:paraId="7B024BF6" w14:textId="223E540C" w:rsidR="00BF56A7" w:rsidRPr="00966772" w:rsidRDefault="00BF56A7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="00D42D59" w:rsidRPr="00966772" w14:paraId="6B443018" w14:textId="77777777" w:rsidTr="00092A85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E6FC402" w14:textId="2B4F3C9F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0BF5A6B" w14:textId="033057FA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17FC7E9C" w14:textId="54420115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4C91E1F1" w14:textId="7544321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761DE8C3" w14:textId="77777777" w:rsidTr="00092A85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1F60075" w14:textId="2D1FC0B2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457C462B" w14:textId="2708D0A2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B9CCC44" w14:textId="10FF23B0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9553514" w14:textId="58ECD6F4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32E38E49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4776B89" w14:textId="2AE036BE" w:rsidR="00D42D59" w:rsidRPr="00966772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46559C9" w14:textId="56980080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F3246F7" w14:textId="51161106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26D94E7E" w14:textId="1838AB7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245DE9A8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5DD980B" w14:textId="0FFD954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11EB477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61FE043B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8F544D1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3E926622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88A8D1C" w14:textId="0E55764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65436C6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7C62E55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8EC5C02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CF29A76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9600599" w14:textId="7FA74A52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3C376B4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CADB31A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0EBCD2E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A043C29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9A797D2" w14:textId="4FDB2566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D78474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7A534F86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91EB4A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66ECB0F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51E43553" w14:textId="25368C6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3ADE883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61CA8BC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481E65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4EC17216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66DB18A" w14:textId="38B516C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940C550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34DE6129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242263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CA53656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4F829B2A" w14:textId="16385F9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bookmarkStart w:id="0" w:name="_GoBack" w:colFirst="1" w:colLast="3"/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</w:tcPr>
          <w:p w14:paraId="5CA88D3F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Collection of data</w:t>
            </w:r>
          </w:p>
          <w:p w14:paraId="493FA272" w14:textId="77777777" w:rsidR="00092A85" w:rsidRPr="00092A85" w:rsidRDefault="00092A85" w:rsidP="00092A85">
            <w:pPr>
              <w:pStyle w:val="ListParagraph"/>
              <w:numPr>
                <w:ilvl w:val="0"/>
                <w:numId w:val="1"/>
              </w:numPr>
              <w:ind w:left="259" w:hanging="141"/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Types of data</w:t>
            </w:r>
          </w:p>
          <w:p w14:paraId="2947D338" w14:textId="77777777" w:rsidR="00092A85" w:rsidRPr="00092A85" w:rsidRDefault="00092A85" w:rsidP="00092A85">
            <w:pPr>
              <w:pStyle w:val="ListParagraph"/>
              <w:numPr>
                <w:ilvl w:val="0"/>
                <w:numId w:val="1"/>
              </w:numPr>
              <w:ind w:left="259" w:hanging="141"/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Population and sampling</w:t>
            </w:r>
          </w:p>
          <w:p w14:paraId="437EE316" w14:textId="77777777" w:rsidR="00092A85" w:rsidRPr="00092A85" w:rsidRDefault="00092A85" w:rsidP="00092A85">
            <w:pPr>
              <w:pStyle w:val="ListParagraph"/>
              <w:numPr>
                <w:ilvl w:val="0"/>
                <w:numId w:val="1"/>
              </w:numPr>
              <w:ind w:left="259" w:hanging="141"/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Sampling methods</w:t>
            </w:r>
          </w:p>
          <w:p w14:paraId="60878B19" w14:textId="75DA915D" w:rsidR="00BF56A7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Planning and collecting data</w:t>
            </w:r>
          </w:p>
        </w:tc>
        <w:tc>
          <w:tcPr>
            <w:tcW w:w="5244" w:type="dxa"/>
            <w:shd w:val="clear" w:color="auto" w:fill="FFFFFF" w:themeFill="background1"/>
          </w:tcPr>
          <w:p w14:paraId="7B7C68C8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Processing and representing data</w:t>
            </w:r>
          </w:p>
          <w:p w14:paraId="6ECCAF9F" w14:textId="77777777" w:rsidR="00092A85" w:rsidRPr="00092A85" w:rsidRDefault="00092A85" w:rsidP="00092A85">
            <w:pPr>
              <w:pStyle w:val="ListParagraph"/>
              <w:numPr>
                <w:ilvl w:val="0"/>
                <w:numId w:val="23"/>
              </w:numPr>
              <w:ind w:left="259" w:hanging="141"/>
              <w:rPr>
                <w:rFonts w:cstheme="minorHAnsi"/>
                <w:b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 xml:space="preserve">Construct, draw, use and understand diagrams related to </w:t>
            </w:r>
            <w:r w:rsidRPr="00092A85">
              <w:rPr>
                <w:rFonts w:cstheme="minorHAnsi"/>
                <w:b/>
                <w:sz w:val="20"/>
                <w:szCs w:val="20"/>
              </w:rPr>
              <w:t>qualitative and discrete data</w:t>
            </w:r>
          </w:p>
          <w:p w14:paraId="3D7A676A" w14:textId="77777777" w:rsidR="00092A85" w:rsidRPr="00092A85" w:rsidRDefault="00092A85" w:rsidP="00092A85">
            <w:pPr>
              <w:pStyle w:val="ListParagraph"/>
              <w:numPr>
                <w:ilvl w:val="0"/>
                <w:numId w:val="3"/>
              </w:numPr>
              <w:ind w:left="259" w:hanging="141"/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 xml:space="preserve">Construct, draw, use and understand diagrams related to </w:t>
            </w:r>
            <w:r w:rsidRPr="00092A85">
              <w:rPr>
                <w:rFonts w:cstheme="minorHAnsi"/>
                <w:b/>
                <w:sz w:val="20"/>
                <w:szCs w:val="20"/>
              </w:rPr>
              <w:t>continuous data</w:t>
            </w:r>
          </w:p>
          <w:p w14:paraId="4AF02D0D" w14:textId="1BDE22B4" w:rsidR="00BF56A7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 xml:space="preserve">Construct, draw, use and understand diagrams related to </w:t>
            </w:r>
            <w:r w:rsidRPr="00092A85">
              <w:rPr>
                <w:rFonts w:cstheme="minorHAnsi"/>
                <w:b/>
                <w:sz w:val="20"/>
                <w:szCs w:val="20"/>
              </w:rPr>
              <w:t>tabulation</w:t>
            </w:r>
          </w:p>
        </w:tc>
        <w:tc>
          <w:tcPr>
            <w:tcW w:w="5245" w:type="dxa"/>
            <w:shd w:val="clear" w:color="auto" w:fill="FFFFFF" w:themeFill="background1"/>
          </w:tcPr>
          <w:p w14:paraId="72B3A65C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 xml:space="preserve">Summarising data </w:t>
            </w:r>
          </w:p>
          <w:p w14:paraId="7101FD79" w14:textId="77777777" w:rsidR="00092A85" w:rsidRPr="00092A85" w:rsidRDefault="00092A85" w:rsidP="00092A85">
            <w:pPr>
              <w:pStyle w:val="ListParagraph"/>
              <w:numPr>
                <w:ilvl w:val="0"/>
                <w:numId w:val="4"/>
              </w:numPr>
              <w:ind w:left="259" w:hanging="141"/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 xml:space="preserve">Measures of central-tendency </w:t>
            </w:r>
          </w:p>
          <w:p w14:paraId="7465F414" w14:textId="77777777" w:rsidR="00092A85" w:rsidRPr="00092A85" w:rsidRDefault="00092A85" w:rsidP="00092A85">
            <w:pPr>
              <w:pStyle w:val="ListParagraph"/>
              <w:numPr>
                <w:ilvl w:val="0"/>
                <w:numId w:val="4"/>
              </w:numPr>
              <w:ind w:left="259" w:hanging="141"/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Measures of Dispersion</w:t>
            </w:r>
          </w:p>
          <w:p w14:paraId="7AFD25EF" w14:textId="06519D7A" w:rsidR="00BF56A7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 xml:space="preserve">Box plots, </w:t>
            </w:r>
            <w:proofErr w:type="spellStart"/>
            <w:r w:rsidRPr="00092A85">
              <w:rPr>
                <w:rFonts w:cstheme="minorHAnsi"/>
                <w:sz w:val="20"/>
                <w:szCs w:val="20"/>
              </w:rPr>
              <w:t>Skewness</w:t>
            </w:r>
            <w:proofErr w:type="spellEnd"/>
            <w:r w:rsidRPr="00092A85">
              <w:rPr>
                <w:rFonts w:cstheme="minorHAnsi"/>
                <w:sz w:val="20"/>
                <w:szCs w:val="20"/>
              </w:rPr>
              <w:t xml:space="preserve"> and calculating and representing outliers</w:t>
            </w:r>
          </w:p>
        </w:tc>
      </w:tr>
      <w:tr w:rsidR="00BF56A7" w:rsidRPr="00966772" w14:paraId="32FD05BB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0EE94B74" w14:textId="0BB8B2C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FFFFFF" w:themeFill="background1"/>
          </w:tcPr>
          <w:p w14:paraId="7DDFB596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Scatter diagrams and correlation</w:t>
            </w:r>
          </w:p>
          <w:p w14:paraId="0A46346E" w14:textId="77777777" w:rsidR="00092A85" w:rsidRPr="00092A85" w:rsidRDefault="00092A85" w:rsidP="00092A85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Describing correlation by inspection</w:t>
            </w:r>
          </w:p>
          <w:p w14:paraId="42561A08" w14:textId="77777777" w:rsidR="00092A85" w:rsidRPr="00092A85" w:rsidRDefault="00092A85" w:rsidP="00092A85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Lines of best fit and Spearman’s rank correlation coefficient</w:t>
            </w:r>
          </w:p>
          <w:p w14:paraId="7C3175FA" w14:textId="77777777" w:rsidR="00092A85" w:rsidRPr="00092A85" w:rsidRDefault="00092A85" w:rsidP="00092A85">
            <w:pPr>
              <w:pStyle w:val="ListParagraph"/>
              <w:numPr>
                <w:ilvl w:val="0"/>
                <w:numId w:val="5"/>
              </w:num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Pearson’s product moment correlation coefficient</w:t>
            </w:r>
          </w:p>
          <w:p w14:paraId="270055BE" w14:textId="77777777" w:rsidR="00BF56A7" w:rsidRPr="00092A85" w:rsidRDefault="00BF56A7" w:rsidP="00092A85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FFFFFF" w:themeFill="background1"/>
          </w:tcPr>
          <w:p w14:paraId="57039E58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Time series analysis</w:t>
            </w:r>
          </w:p>
          <w:p w14:paraId="40DE7EB8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•</w:t>
            </w:r>
            <w:r w:rsidRPr="00092A85">
              <w:rPr>
                <w:rFonts w:cstheme="minorHAnsi"/>
                <w:sz w:val="20"/>
                <w:szCs w:val="20"/>
              </w:rPr>
              <w:tab/>
              <w:t>Calculating moving averages</w:t>
            </w:r>
          </w:p>
          <w:p w14:paraId="32B03023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•</w:t>
            </w:r>
            <w:r w:rsidRPr="00092A85">
              <w:rPr>
                <w:rFonts w:cstheme="minorHAnsi"/>
                <w:sz w:val="20"/>
                <w:szCs w:val="20"/>
              </w:rPr>
              <w:tab/>
              <w:t>Seasonal and cyclic trends</w:t>
            </w:r>
          </w:p>
          <w:p w14:paraId="2C3379A5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 xml:space="preserve">Probability </w:t>
            </w:r>
          </w:p>
          <w:p w14:paraId="52E62121" w14:textId="4DCE7AFE" w:rsidR="00BF56A7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•</w:t>
            </w:r>
            <w:r w:rsidRPr="00092A85">
              <w:rPr>
                <w:rFonts w:cstheme="minorHAnsi"/>
                <w:sz w:val="20"/>
                <w:szCs w:val="20"/>
              </w:rPr>
              <w:tab/>
              <w:t>Simple and theoretical probability</w:t>
            </w:r>
          </w:p>
        </w:tc>
        <w:tc>
          <w:tcPr>
            <w:tcW w:w="5245" w:type="dxa"/>
            <w:shd w:val="clear" w:color="auto" w:fill="FFFFFF" w:themeFill="background1"/>
          </w:tcPr>
          <w:p w14:paraId="1C6D86A6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 xml:space="preserve">Probability </w:t>
            </w:r>
          </w:p>
          <w:p w14:paraId="30D33E09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•</w:t>
            </w:r>
            <w:r w:rsidRPr="00092A85">
              <w:rPr>
                <w:rFonts w:cstheme="minorHAnsi"/>
                <w:sz w:val="20"/>
                <w:szCs w:val="20"/>
              </w:rPr>
              <w:tab/>
              <w:t>Probability from two-way tables</w:t>
            </w:r>
          </w:p>
          <w:p w14:paraId="32FFADCC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•</w:t>
            </w:r>
            <w:r w:rsidRPr="00092A85">
              <w:rPr>
                <w:rFonts w:cstheme="minorHAnsi"/>
                <w:sz w:val="20"/>
                <w:szCs w:val="20"/>
              </w:rPr>
              <w:tab/>
              <w:t>Sample space diagrams</w:t>
            </w:r>
          </w:p>
          <w:p w14:paraId="15BB2C60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•</w:t>
            </w:r>
            <w:r w:rsidRPr="00092A85">
              <w:rPr>
                <w:rFonts w:cstheme="minorHAnsi"/>
                <w:sz w:val="20"/>
                <w:szCs w:val="20"/>
              </w:rPr>
              <w:tab/>
              <w:t>Tree diagrams</w:t>
            </w:r>
          </w:p>
          <w:p w14:paraId="48A21A5E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•</w:t>
            </w:r>
            <w:r w:rsidRPr="00092A85">
              <w:rPr>
                <w:rFonts w:cstheme="minorHAnsi"/>
                <w:sz w:val="20"/>
                <w:szCs w:val="20"/>
              </w:rPr>
              <w:tab/>
              <w:t>Venn diagrams</w:t>
            </w:r>
          </w:p>
          <w:p w14:paraId="0DDA6A88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</w:p>
          <w:p w14:paraId="0F35A9D8" w14:textId="77777777" w:rsidR="00092A85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Index numbers</w:t>
            </w:r>
          </w:p>
          <w:p w14:paraId="6191D749" w14:textId="18C16D0F" w:rsidR="00BF56A7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sz w:val="20"/>
                <w:szCs w:val="20"/>
              </w:rPr>
              <w:t>•</w:t>
            </w:r>
            <w:r w:rsidRPr="00092A85">
              <w:rPr>
                <w:rFonts w:cstheme="minorHAnsi"/>
                <w:sz w:val="20"/>
                <w:szCs w:val="20"/>
              </w:rPr>
              <w:tab/>
              <w:t>Interpreting index numbers in context and simple calculations</w:t>
            </w:r>
          </w:p>
        </w:tc>
      </w:tr>
      <w:tr w:rsidR="00BF56A7" w:rsidRPr="00966772" w14:paraId="1AA5FFFA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704C2C3" w14:textId="47B00EC1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Y11</w:t>
            </w:r>
          </w:p>
        </w:tc>
        <w:tc>
          <w:tcPr>
            <w:tcW w:w="4132" w:type="dxa"/>
            <w:shd w:val="clear" w:color="auto" w:fill="FFFFFF" w:themeFill="background1"/>
          </w:tcPr>
          <w:p w14:paraId="1C6E7369" w14:textId="77777777" w:rsidR="00092A85" w:rsidRPr="00092A85" w:rsidRDefault="00092A85" w:rsidP="00092A85">
            <w:pPr>
              <w:rPr>
                <w:rFonts w:cstheme="minorHAnsi"/>
                <w:color w:val="000000" w:themeColor="text1"/>
                <w:sz w:val="20"/>
                <w:szCs w:val="20"/>
              </w:rPr>
            </w:pPr>
            <w:r w:rsidRPr="00092A85">
              <w:rPr>
                <w:rFonts w:cstheme="minorHAnsi"/>
                <w:color w:val="000000" w:themeColor="text1"/>
                <w:sz w:val="20"/>
                <w:szCs w:val="20"/>
              </w:rPr>
              <w:t>Probability distributions</w:t>
            </w:r>
          </w:p>
          <w:p w14:paraId="544E454E" w14:textId="77777777" w:rsidR="00092A85" w:rsidRPr="00092A85" w:rsidRDefault="00092A85" w:rsidP="00092A85">
            <w:pPr>
              <w:pStyle w:val="ListParagraph"/>
              <w:numPr>
                <w:ilvl w:val="0"/>
                <w:numId w:val="22"/>
              </w:numPr>
              <w:rPr>
                <w:rFonts w:cstheme="minorHAnsi"/>
                <w:color w:val="000000" w:themeColor="text1"/>
                <w:sz w:val="20"/>
                <w:szCs w:val="20"/>
              </w:rPr>
            </w:pPr>
            <w:r w:rsidRPr="00092A85">
              <w:rPr>
                <w:rFonts w:cstheme="minorHAnsi"/>
                <w:color w:val="000000" w:themeColor="text1"/>
                <w:sz w:val="20"/>
                <w:szCs w:val="20"/>
              </w:rPr>
              <w:t>Binomial distribution</w:t>
            </w:r>
          </w:p>
          <w:p w14:paraId="59C5AA16" w14:textId="77777777" w:rsidR="00092A85" w:rsidRPr="00092A85" w:rsidRDefault="00092A85" w:rsidP="00092A85">
            <w:pPr>
              <w:pStyle w:val="ListParagraph"/>
              <w:numPr>
                <w:ilvl w:val="0"/>
                <w:numId w:val="22"/>
              </w:numPr>
              <w:rPr>
                <w:rFonts w:cstheme="minorHAnsi"/>
                <w:color w:val="000000" w:themeColor="text1"/>
                <w:sz w:val="20"/>
                <w:szCs w:val="20"/>
              </w:rPr>
            </w:pPr>
            <w:r w:rsidRPr="00092A85">
              <w:rPr>
                <w:rFonts w:cstheme="minorHAnsi"/>
                <w:color w:val="000000" w:themeColor="text1"/>
                <w:sz w:val="20"/>
                <w:szCs w:val="20"/>
              </w:rPr>
              <w:t>Normal distribution and standardised scores</w:t>
            </w:r>
          </w:p>
          <w:p w14:paraId="0F1AE549" w14:textId="77777777" w:rsidR="00092A85" w:rsidRPr="00092A85" w:rsidRDefault="00092A85" w:rsidP="00092A85">
            <w:pPr>
              <w:pStyle w:val="ListParagraph"/>
              <w:numPr>
                <w:ilvl w:val="0"/>
                <w:numId w:val="22"/>
              </w:numPr>
              <w:rPr>
                <w:rFonts w:cstheme="minorHAnsi"/>
                <w:color w:val="000000" w:themeColor="text1"/>
                <w:sz w:val="20"/>
                <w:szCs w:val="20"/>
              </w:rPr>
            </w:pPr>
            <w:r w:rsidRPr="00092A85">
              <w:rPr>
                <w:rFonts w:cstheme="minorHAnsi"/>
                <w:color w:val="000000" w:themeColor="text1"/>
                <w:sz w:val="20"/>
                <w:szCs w:val="20"/>
              </w:rPr>
              <w:t>Quality assurance</w:t>
            </w:r>
          </w:p>
          <w:p w14:paraId="15DAEC73" w14:textId="77777777" w:rsidR="00092A85" w:rsidRPr="00092A85" w:rsidRDefault="00092A85" w:rsidP="00092A85">
            <w:pPr>
              <w:rPr>
                <w:rFonts w:cstheme="minorHAnsi"/>
                <w:color w:val="000000" w:themeColor="text1"/>
                <w:sz w:val="20"/>
                <w:szCs w:val="20"/>
              </w:rPr>
            </w:pPr>
            <w:r w:rsidRPr="00092A85">
              <w:rPr>
                <w:rFonts w:cstheme="minorHAnsi"/>
                <w:color w:val="000000" w:themeColor="text1"/>
                <w:sz w:val="20"/>
                <w:szCs w:val="20"/>
              </w:rPr>
              <w:br/>
              <w:t>Overview of the stages of the statistical enquiry cycle</w:t>
            </w:r>
          </w:p>
          <w:p w14:paraId="4CB070F4" w14:textId="77777777" w:rsidR="00BF56A7" w:rsidRPr="00092A85" w:rsidRDefault="00BF56A7" w:rsidP="00092A85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FFFFFF" w:themeFill="background1"/>
          </w:tcPr>
          <w:p w14:paraId="27EA30BC" w14:textId="473E83DE" w:rsidR="00BF56A7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color w:val="000000" w:themeColor="text1"/>
                <w:sz w:val="20"/>
                <w:szCs w:val="20"/>
              </w:rPr>
              <w:t>Exam practice and revision</w:t>
            </w:r>
          </w:p>
        </w:tc>
        <w:tc>
          <w:tcPr>
            <w:tcW w:w="5245" w:type="dxa"/>
            <w:shd w:val="clear" w:color="auto" w:fill="FFFFFF" w:themeFill="background1"/>
          </w:tcPr>
          <w:p w14:paraId="5E5C6BF2" w14:textId="4455AC0C" w:rsidR="00BF56A7" w:rsidRPr="00092A85" w:rsidRDefault="00092A85" w:rsidP="00092A85">
            <w:pPr>
              <w:rPr>
                <w:rFonts w:cstheme="minorHAnsi"/>
                <w:sz w:val="20"/>
                <w:szCs w:val="20"/>
              </w:rPr>
            </w:pPr>
            <w:r w:rsidRPr="00092A85">
              <w:rPr>
                <w:rFonts w:cstheme="minorHAnsi"/>
                <w:color w:val="000000" w:themeColor="text1"/>
                <w:sz w:val="20"/>
                <w:szCs w:val="20"/>
              </w:rPr>
              <w:t>Exam practice and revision</w:t>
            </w:r>
          </w:p>
        </w:tc>
      </w:tr>
      <w:bookmarkEnd w:id="0"/>
      <w:tr w:rsidR="00BF56A7" w:rsidRPr="00966772" w14:paraId="38783DF7" w14:textId="77777777" w:rsidTr="00092A85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63FFECCE" w14:textId="4832E95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C2C8D79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43C57B7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9FDCB98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0D755A5" w14:textId="77777777" w:rsidTr="00092A85">
        <w:trPr>
          <w:cantSplit/>
          <w:trHeight w:val="1532"/>
        </w:trPr>
        <w:tc>
          <w:tcPr>
            <w:tcW w:w="547" w:type="dxa"/>
            <w:tcBorders>
              <w:bottom w:val="single" w:sz="4" w:space="0" w:color="auto"/>
            </w:tcBorders>
            <w:shd w:val="clear" w:color="auto" w:fill="E2EFD9" w:themeFill="accent6" w:themeFillTint="33"/>
            <w:textDirection w:val="btLr"/>
            <w:vAlign w:val="center"/>
          </w:tcPr>
          <w:p w14:paraId="5355E752" w14:textId="642F7A29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1980C02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1116CAF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4836C1C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</w:tbl>
    <w:p w14:paraId="6B9818AD" w14:textId="77777777" w:rsidR="00B55F19" w:rsidRDefault="00B55F19"/>
    <w:p w14:paraId="44F78CFF" w14:textId="77777777" w:rsidR="00B55F19" w:rsidRDefault="00B55F19"/>
    <w:p w14:paraId="67E8FF0E" w14:textId="77777777" w:rsidR="00B55F19" w:rsidRDefault="00B55F19"/>
    <w:p w14:paraId="708DB5EB" w14:textId="77777777" w:rsidR="00B55F19" w:rsidRDefault="00B55F19"/>
    <w:p w14:paraId="0788DF8D" w14:textId="77777777" w:rsidR="00B55F19" w:rsidRDefault="00B55F19"/>
    <w:p w14:paraId="28F4DC58" w14:textId="77777777" w:rsidR="00B55F19" w:rsidRDefault="00B55F19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0B04B" w14:textId="77777777" w:rsidR="008F276C" w:rsidRDefault="008F276C" w:rsidP="007D7B2F">
      <w:pPr>
        <w:spacing w:after="0" w:line="240" w:lineRule="auto"/>
      </w:pPr>
      <w:r>
        <w:separator/>
      </w:r>
    </w:p>
  </w:endnote>
  <w:endnote w:type="continuationSeparator" w:id="0">
    <w:p w14:paraId="42E093F9" w14:textId="77777777" w:rsidR="008F276C" w:rsidRDefault="008F276C" w:rsidP="007D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36824E" w14:textId="77777777" w:rsidR="008F276C" w:rsidRDefault="008F276C" w:rsidP="007D7B2F">
      <w:pPr>
        <w:spacing w:after="0" w:line="240" w:lineRule="auto"/>
      </w:pPr>
      <w:r>
        <w:separator/>
      </w:r>
    </w:p>
  </w:footnote>
  <w:footnote w:type="continuationSeparator" w:id="0">
    <w:p w14:paraId="4240720F" w14:textId="77777777" w:rsidR="008F276C" w:rsidRDefault="008F276C" w:rsidP="007D7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2B297" w14:textId="6EA4AB4B" w:rsidR="00691BDD" w:rsidRPr="007D7B2F" w:rsidRDefault="00691BDD" w:rsidP="007D7B2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092A85">
      <w:rPr>
        <w:sz w:val="44"/>
      </w:rPr>
      <w:t>Statistics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1BB02A4"/>
    <w:multiLevelType w:val="hybridMultilevel"/>
    <w:tmpl w:val="BE08D2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1"/>
  </w:num>
  <w:num w:numId="3">
    <w:abstractNumId w:val="12"/>
  </w:num>
  <w:num w:numId="4">
    <w:abstractNumId w:val="7"/>
  </w:num>
  <w:num w:numId="5">
    <w:abstractNumId w:val="16"/>
  </w:num>
  <w:num w:numId="6">
    <w:abstractNumId w:val="19"/>
  </w:num>
  <w:num w:numId="7">
    <w:abstractNumId w:val="15"/>
  </w:num>
  <w:num w:numId="8">
    <w:abstractNumId w:val="13"/>
  </w:num>
  <w:num w:numId="9">
    <w:abstractNumId w:val="1"/>
  </w:num>
  <w:num w:numId="10">
    <w:abstractNumId w:val="3"/>
  </w:num>
  <w:num w:numId="11">
    <w:abstractNumId w:val="5"/>
  </w:num>
  <w:num w:numId="12">
    <w:abstractNumId w:val="11"/>
  </w:num>
  <w:num w:numId="13">
    <w:abstractNumId w:val="14"/>
  </w:num>
  <w:num w:numId="14">
    <w:abstractNumId w:val="20"/>
  </w:num>
  <w:num w:numId="15">
    <w:abstractNumId w:val="0"/>
  </w:num>
  <w:num w:numId="16">
    <w:abstractNumId w:val="10"/>
  </w:num>
  <w:num w:numId="17">
    <w:abstractNumId w:val="17"/>
  </w:num>
  <w:num w:numId="18">
    <w:abstractNumId w:val="2"/>
  </w:num>
  <w:num w:numId="19">
    <w:abstractNumId w:val="22"/>
  </w:num>
  <w:num w:numId="20">
    <w:abstractNumId w:val="18"/>
  </w:num>
  <w:num w:numId="21">
    <w:abstractNumId w:val="6"/>
  </w:num>
  <w:num w:numId="22">
    <w:abstractNumId w:val="4"/>
  </w:num>
  <w:num w:numId="2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92A85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AE3E2304</Template>
  <TotalTime>2</TotalTime>
  <Pages>3</Pages>
  <Words>208</Words>
  <Characters>1189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1395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Tsagkadakis N</dc:creator>
  <cp:keywords/>
  <dc:description/>
  <cp:lastModifiedBy>Wake J</cp:lastModifiedBy>
  <cp:revision>4</cp:revision>
  <cp:lastPrinted>2020-02-12T07:32:00Z</cp:lastPrinted>
  <dcterms:created xsi:type="dcterms:W3CDTF">2021-08-27T15:02:00Z</dcterms:created>
  <dcterms:modified xsi:type="dcterms:W3CDTF">2021-08-31T10:46:00Z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